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88" w:rsidRPr="005F1668" w:rsidRDefault="007F1398" w:rsidP="00921E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4847">
        <w:rPr>
          <w:rFonts w:ascii="Calibri" w:eastAsia="Calibri" w:hAnsi="Calibri" w:cs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-51435</wp:posOffset>
            </wp:positionH>
            <wp:positionV relativeFrom="paragraph">
              <wp:posOffset>-223520</wp:posOffset>
            </wp:positionV>
            <wp:extent cx="274320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450" y="21406"/>
                <wp:lineTo x="2145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1E88">
        <w:rPr>
          <w:rFonts w:ascii="Times New Roman" w:hAnsi="Times New Roman" w:cs="Times New Roman"/>
          <w:b/>
          <w:sz w:val="28"/>
          <w:szCs w:val="28"/>
        </w:rPr>
        <w:t xml:space="preserve"> Как подарить недвижимость: советы </w:t>
      </w:r>
      <w:proofErr w:type="gramStart"/>
      <w:r w:rsidR="00921E88">
        <w:rPr>
          <w:rFonts w:ascii="Times New Roman" w:hAnsi="Times New Roman" w:cs="Times New Roman"/>
          <w:b/>
          <w:sz w:val="28"/>
          <w:szCs w:val="28"/>
        </w:rPr>
        <w:t>курского</w:t>
      </w:r>
      <w:proofErr w:type="gramEnd"/>
      <w:r w:rsidR="00921E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1E88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921E88">
        <w:rPr>
          <w:rFonts w:ascii="Times New Roman" w:hAnsi="Times New Roman" w:cs="Times New Roman"/>
          <w:b/>
          <w:sz w:val="28"/>
          <w:szCs w:val="28"/>
        </w:rPr>
        <w:t xml:space="preserve"> и Кадастровой палаты </w:t>
      </w:r>
    </w:p>
    <w:p w:rsidR="007F1398" w:rsidRDefault="007F1398" w:rsidP="005F16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398" w:rsidRDefault="007F1398" w:rsidP="005F16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28B" w:rsidRPr="00414852" w:rsidRDefault="00921E88" w:rsidP="004148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852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proofErr w:type="spellStart"/>
      <w:r w:rsidRPr="00414852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414852">
        <w:rPr>
          <w:rFonts w:ascii="Times New Roman" w:hAnsi="Times New Roman" w:cs="Times New Roman"/>
          <w:i/>
          <w:sz w:val="28"/>
          <w:szCs w:val="28"/>
        </w:rPr>
        <w:t xml:space="preserve"> по Курской области совместно с </w:t>
      </w:r>
      <w:r w:rsidR="002F36DA" w:rsidRPr="00414852">
        <w:rPr>
          <w:rFonts w:ascii="Times New Roman" w:hAnsi="Times New Roman" w:cs="Times New Roman"/>
          <w:i/>
          <w:sz w:val="28"/>
          <w:szCs w:val="28"/>
        </w:rPr>
        <w:t>К</w:t>
      </w:r>
      <w:r w:rsidRPr="00414852">
        <w:rPr>
          <w:rFonts w:ascii="Times New Roman" w:hAnsi="Times New Roman" w:cs="Times New Roman"/>
          <w:i/>
          <w:sz w:val="28"/>
          <w:szCs w:val="28"/>
        </w:rPr>
        <w:t>адастровой палатой</w:t>
      </w:r>
      <w:r w:rsidR="00E7128B" w:rsidRPr="004148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36DA" w:rsidRPr="00414852">
        <w:rPr>
          <w:rFonts w:ascii="Times New Roman" w:hAnsi="Times New Roman" w:cs="Times New Roman"/>
          <w:i/>
          <w:sz w:val="28"/>
          <w:szCs w:val="28"/>
        </w:rPr>
        <w:t xml:space="preserve">Курской области </w:t>
      </w:r>
      <w:r w:rsidR="00E7128B" w:rsidRPr="00414852">
        <w:rPr>
          <w:rFonts w:ascii="Times New Roman" w:hAnsi="Times New Roman" w:cs="Times New Roman"/>
          <w:i/>
          <w:sz w:val="28"/>
          <w:szCs w:val="28"/>
        </w:rPr>
        <w:t>рассказали о правовых аспектах и особенностях отчуждения объекта недвижимости на основании договора дарения</w:t>
      </w:r>
      <w:r w:rsidRPr="00414852">
        <w:rPr>
          <w:rFonts w:ascii="Times New Roman" w:hAnsi="Times New Roman" w:cs="Times New Roman"/>
          <w:i/>
          <w:sz w:val="28"/>
          <w:szCs w:val="28"/>
        </w:rPr>
        <w:t>.</w:t>
      </w:r>
    </w:p>
    <w:p w:rsidR="00E7128B" w:rsidRPr="00414852" w:rsidRDefault="00F64377" w:rsidP="0041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852">
        <w:rPr>
          <w:rFonts w:ascii="Times New Roman" w:hAnsi="Times New Roman" w:cs="Times New Roman"/>
          <w:sz w:val="28"/>
          <w:szCs w:val="28"/>
        </w:rPr>
        <w:t xml:space="preserve">Законодательство устанавливает: </w:t>
      </w:r>
      <w:r w:rsidR="00E7128B" w:rsidRPr="00414852">
        <w:rPr>
          <w:rFonts w:ascii="Times New Roman" w:hAnsi="Times New Roman" w:cs="Times New Roman"/>
          <w:sz w:val="28"/>
          <w:szCs w:val="28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закону, в том числе отчуждать свое имущество в собственность другим лицам на основании договоров купли-продажи, дарения или иной сделки об отчуждении недвижимости.</w:t>
      </w:r>
      <w:r w:rsidR="00921E88" w:rsidRPr="00414852">
        <w:rPr>
          <w:rFonts w:ascii="Times New Roman" w:hAnsi="Times New Roman" w:cs="Times New Roman"/>
          <w:sz w:val="28"/>
          <w:szCs w:val="28"/>
        </w:rPr>
        <w:t xml:space="preserve"> </w:t>
      </w:r>
      <w:r w:rsidR="00E7128B" w:rsidRPr="0041485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7128B" w:rsidRPr="00414852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E7128B" w:rsidRPr="00414852">
        <w:rPr>
          <w:rFonts w:ascii="Times New Roman" w:hAnsi="Times New Roman" w:cs="Times New Roman"/>
          <w:sz w:val="28"/>
          <w:szCs w:val="28"/>
        </w:rPr>
        <w:t xml:space="preserve"> отчуждения объекта недвижимости осуществляется переход права собственности от собственника объекта недвижимости к его приобретателю, о чем в Единый государственный реестр недвижимости вносится запись.</w:t>
      </w:r>
    </w:p>
    <w:p w:rsidR="00337FAE" w:rsidRPr="00414852" w:rsidRDefault="00337FAE" w:rsidP="0041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852">
        <w:rPr>
          <w:rFonts w:ascii="Times New Roman" w:hAnsi="Times New Roman" w:cs="Times New Roman"/>
          <w:sz w:val="28"/>
          <w:szCs w:val="28"/>
        </w:rPr>
        <w:t xml:space="preserve">В нашем </w:t>
      </w:r>
      <w:proofErr w:type="gramStart"/>
      <w:r w:rsidRPr="0041485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414852">
        <w:rPr>
          <w:rFonts w:ascii="Times New Roman" w:hAnsi="Times New Roman" w:cs="Times New Roman"/>
          <w:sz w:val="28"/>
          <w:szCs w:val="28"/>
        </w:rPr>
        <w:t xml:space="preserve"> речь идёт о недвижимости – зем</w:t>
      </w:r>
      <w:r w:rsidR="005928FC" w:rsidRPr="00414852">
        <w:rPr>
          <w:rFonts w:ascii="Times New Roman" w:hAnsi="Times New Roman" w:cs="Times New Roman"/>
          <w:sz w:val="28"/>
          <w:szCs w:val="28"/>
        </w:rPr>
        <w:t xml:space="preserve">ельном участке, </w:t>
      </w:r>
      <w:r w:rsidR="00414852">
        <w:rPr>
          <w:rFonts w:ascii="Times New Roman" w:hAnsi="Times New Roman" w:cs="Times New Roman"/>
          <w:sz w:val="28"/>
          <w:szCs w:val="28"/>
        </w:rPr>
        <w:t>доме, квартире</w:t>
      </w:r>
      <w:r w:rsidRPr="00414852">
        <w:rPr>
          <w:rFonts w:ascii="Times New Roman" w:hAnsi="Times New Roman" w:cs="Times New Roman"/>
          <w:sz w:val="28"/>
          <w:szCs w:val="28"/>
        </w:rPr>
        <w:t>.</w:t>
      </w:r>
    </w:p>
    <w:p w:rsidR="00337FAE" w:rsidRPr="00414852" w:rsidRDefault="00337FAE" w:rsidP="00414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852">
        <w:rPr>
          <w:rFonts w:ascii="Times New Roman" w:hAnsi="Times New Roman" w:cs="Times New Roman"/>
          <w:sz w:val="28"/>
          <w:szCs w:val="28"/>
        </w:rPr>
        <w:t xml:space="preserve">Сутью договора дарения является его безвозмездность. </w:t>
      </w:r>
      <w:r w:rsidR="00A3051C" w:rsidRPr="0041485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14852">
        <w:rPr>
          <w:rFonts w:ascii="Times New Roman" w:hAnsi="Times New Roman" w:cs="Times New Roman"/>
          <w:sz w:val="28"/>
          <w:szCs w:val="28"/>
        </w:rPr>
        <w:t xml:space="preserve">замаскировать в договоре дарение под куплю-продажу не получится. </w:t>
      </w:r>
      <w:r w:rsidR="00A3051C" w:rsidRPr="00414852">
        <w:rPr>
          <w:rFonts w:ascii="Times New Roman" w:hAnsi="Times New Roman" w:cs="Times New Roman"/>
          <w:sz w:val="28"/>
          <w:szCs w:val="28"/>
        </w:rPr>
        <w:t>Также н</w:t>
      </w:r>
      <w:r w:rsidRPr="00414852">
        <w:rPr>
          <w:rFonts w:ascii="Times New Roman" w:hAnsi="Times New Roman" w:cs="Times New Roman"/>
          <w:sz w:val="28"/>
          <w:szCs w:val="28"/>
        </w:rPr>
        <w:t xml:space="preserve">ельзя включать в договор дарения условие, что недвижимость достанется </w:t>
      </w:r>
      <w:proofErr w:type="gramStart"/>
      <w:r w:rsidRPr="00414852">
        <w:rPr>
          <w:rFonts w:ascii="Times New Roman" w:hAnsi="Times New Roman" w:cs="Times New Roman"/>
          <w:sz w:val="28"/>
          <w:szCs w:val="28"/>
        </w:rPr>
        <w:t>одаряемому</w:t>
      </w:r>
      <w:proofErr w:type="gramEnd"/>
      <w:r w:rsidRPr="00414852">
        <w:rPr>
          <w:rFonts w:ascii="Times New Roman" w:hAnsi="Times New Roman" w:cs="Times New Roman"/>
          <w:sz w:val="28"/>
          <w:szCs w:val="28"/>
        </w:rPr>
        <w:t xml:space="preserve"> после смерти дарителя.</w:t>
      </w:r>
    </w:p>
    <w:p w:rsidR="00414852" w:rsidRDefault="00921E88" w:rsidP="00414852">
      <w:pPr>
        <w:pStyle w:val="3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14852">
        <w:rPr>
          <w:color w:val="000000" w:themeColor="text1"/>
          <w:sz w:val="28"/>
          <w:szCs w:val="28"/>
        </w:rPr>
        <w:t>Платить налог или нет?</w:t>
      </w:r>
    </w:p>
    <w:p w:rsidR="00414852" w:rsidRDefault="00921E88" w:rsidP="00414852">
      <w:pPr>
        <w:pStyle w:val="3"/>
        <w:shd w:val="clear" w:color="auto" w:fill="FFFFFF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414852">
        <w:rPr>
          <w:b w:val="0"/>
          <w:color w:val="000000" w:themeColor="text1"/>
          <w:sz w:val="28"/>
          <w:szCs w:val="28"/>
        </w:rPr>
        <w:t>Нужно ли платить налог за подаренное имущество, зависит от родства двух сторон. Если даритель и человек, который получает недвижимость, являются членами семьи или близкими родственниками: супругами, родителями и детьми (в том числе усыновителями и усыновленными), дедушкой, бабушкой, внуками, братьями и сестрами, то они освобождаются от налога.</w:t>
      </w:r>
    </w:p>
    <w:p w:rsidR="00414852" w:rsidRDefault="00921E88" w:rsidP="00414852">
      <w:pPr>
        <w:pStyle w:val="3"/>
        <w:shd w:val="clear" w:color="auto" w:fill="FFFFFF"/>
        <w:ind w:firstLine="709"/>
        <w:contextualSpacing/>
        <w:jc w:val="both"/>
        <w:rPr>
          <w:b w:val="0"/>
          <w:color w:val="000000" w:themeColor="text1"/>
          <w:sz w:val="28"/>
          <w:szCs w:val="28"/>
        </w:rPr>
      </w:pPr>
      <w:r w:rsidRPr="00414852">
        <w:rPr>
          <w:b w:val="0"/>
          <w:color w:val="000000" w:themeColor="text1"/>
          <w:sz w:val="28"/>
          <w:szCs w:val="28"/>
        </w:rPr>
        <w:t>Если же недвижимость получит в дар неблизкий родственник, то он должен уплатить подоходный налог в размере 13 % от кадастровой стоимости объекта.</w:t>
      </w:r>
    </w:p>
    <w:p w:rsidR="00921E88" w:rsidRPr="00414852" w:rsidRDefault="00921E88" w:rsidP="00414852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14852">
        <w:rPr>
          <w:b/>
          <w:bCs/>
          <w:color w:val="000000" w:themeColor="text1"/>
          <w:sz w:val="28"/>
          <w:szCs w:val="28"/>
        </w:rPr>
        <w:t>Регистрация перехода права при дарении</w:t>
      </w:r>
    </w:p>
    <w:p w:rsidR="00921E88" w:rsidRDefault="00921E88" w:rsidP="00C27DDA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14852">
        <w:rPr>
          <w:color w:val="000000" w:themeColor="text1"/>
          <w:sz w:val="28"/>
          <w:szCs w:val="28"/>
        </w:rPr>
        <w:t>Правоустанавливающим документом в случае сделки дарения является договор, согласно которому даритель безвозмездно передает права на недвижимое имущество одаряемому, который, в свою очередь, согласен принять имущество в дар. Обязательного удостоверения сделки у нотариуса не требуется, за исключением случаев, предусмотренных законом, в частности, когда в дар преподносится доля в праве общей долевой собственности.</w:t>
      </w:r>
    </w:p>
    <w:p w:rsidR="00B00F60" w:rsidRDefault="00B00F60" w:rsidP="00C27DDA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tab/>
      </w:r>
      <w:r w:rsidRPr="00B00F60">
        <w:rPr>
          <w:rFonts w:ascii="Times New Roman" w:hAnsi="Times New Roman" w:cs="Times New Roman"/>
          <w:i/>
          <w:sz w:val="28"/>
          <w:szCs w:val="28"/>
        </w:rPr>
        <w:t xml:space="preserve">«В </w:t>
      </w:r>
      <w:proofErr w:type="gramStart"/>
      <w:r w:rsidRPr="00B00F60">
        <w:rPr>
          <w:rFonts w:ascii="Times New Roman" w:hAnsi="Times New Roman" w:cs="Times New Roman"/>
          <w:i/>
          <w:sz w:val="28"/>
          <w:szCs w:val="28"/>
        </w:rPr>
        <w:t>случаях</w:t>
      </w:r>
      <w:proofErr w:type="gramEnd"/>
      <w:r w:rsidRPr="00B00F60">
        <w:rPr>
          <w:rFonts w:ascii="Times New Roman" w:hAnsi="Times New Roman" w:cs="Times New Roman"/>
          <w:i/>
          <w:sz w:val="28"/>
          <w:szCs w:val="28"/>
        </w:rPr>
        <w:t xml:space="preserve"> удостоверения сделки у нотариуса законодательство дает возможность гражданам  максимально быстро в течение одного рабочего </w:t>
      </w:r>
      <w:r w:rsidRPr="00B00F6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дня зарегистрировать права на недвижимость в </w:t>
      </w:r>
      <w:proofErr w:type="spellStart"/>
      <w:r w:rsidRPr="00B00F60">
        <w:rPr>
          <w:rFonts w:ascii="Times New Roman" w:hAnsi="Times New Roman" w:cs="Times New Roman"/>
          <w:i/>
          <w:sz w:val="28"/>
          <w:szCs w:val="28"/>
        </w:rPr>
        <w:t>Росреестре</w:t>
      </w:r>
      <w:proofErr w:type="spellEnd"/>
      <w:r w:rsidRPr="00B00F60">
        <w:rPr>
          <w:rFonts w:ascii="Times New Roman" w:hAnsi="Times New Roman" w:cs="Times New Roman"/>
          <w:i/>
          <w:sz w:val="28"/>
          <w:szCs w:val="28"/>
        </w:rPr>
        <w:t>, не посещая при этом офисы МФЦ»</w:t>
      </w:r>
      <w:r w:rsidRPr="00B00F60">
        <w:rPr>
          <w:rFonts w:ascii="Times New Roman" w:hAnsi="Times New Roman" w:cs="Times New Roman"/>
          <w:sz w:val="28"/>
          <w:szCs w:val="28"/>
        </w:rPr>
        <w:t xml:space="preserve">, - прокомментировала Президент </w:t>
      </w:r>
      <w:r w:rsidR="00C27DDA" w:rsidRPr="00B00F60">
        <w:rPr>
          <w:rFonts w:ascii="Times New Roman" w:hAnsi="Times New Roman" w:cs="Times New Roman"/>
          <w:sz w:val="28"/>
          <w:szCs w:val="28"/>
        </w:rPr>
        <w:t>Нотар</w:t>
      </w:r>
      <w:r w:rsidR="00C27DDA">
        <w:rPr>
          <w:rFonts w:ascii="Times New Roman" w:hAnsi="Times New Roman" w:cs="Times New Roman"/>
          <w:sz w:val="28"/>
          <w:szCs w:val="28"/>
        </w:rPr>
        <w:t>и</w:t>
      </w:r>
      <w:r w:rsidR="00C27DDA" w:rsidRPr="00B00F60">
        <w:rPr>
          <w:rFonts w:ascii="Times New Roman" w:hAnsi="Times New Roman" w:cs="Times New Roman"/>
          <w:sz w:val="28"/>
          <w:szCs w:val="28"/>
        </w:rPr>
        <w:t>альной</w:t>
      </w:r>
      <w:r w:rsidRPr="00B00F60">
        <w:rPr>
          <w:rFonts w:ascii="Times New Roman" w:hAnsi="Times New Roman" w:cs="Times New Roman"/>
          <w:sz w:val="28"/>
          <w:szCs w:val="28"/>
        </w:rPr>
        <w:t xml:space="preserve"> палаты Курской области</w:t>
      </w:r>
      <w:r w:rsidRPr="00B00F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Ольга </w:t>
      </w:r>
      <w:proofErr w:type="spellStart"/>
      <w:r w:rsidRPr="00B00F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Сердюкова</w:t>
      </w:r>
      <w:proofErr w:type="spellEnd"/>
      <w:r w:rsidRPr="00B00F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55EA9" w:rsidRDefault="00B00F60" w:rsidP="00E55EA9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ab/>
        <w:t>«</w:t>
      </w:r>
      <w:r w:rsidRPr="00B00F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 2021 году в </w:t>
      </w:r>
      <w:proofErr w:type="gramStart"/>
      <w:r w:rsidRPr="00B00F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курский</w:t>
      </w:r>
      <w:proofErr w:type="gramEnd"/>
      <w:r w:rsidRPr="00B00F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00F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Pr="00B00F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нотариусами </w:t>
      </w:r>
      <w:r w:rsidR="00C27DD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подано более 6,5 тысяч заявлений</w:t>
      </w:r>
      <w:r w:rsidRPr="00B00F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B00F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госрегистрацию</w:t>
      </w:r>
      <w:proofErr w:type="spellEnd"/>
      <w:r w:rsidRPr="00B00F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6EE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 основании нотариально удостоверенных сделок,</w:t>
      </w:r>
      <w:r w:rsidRPr="00B00F6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</w:t>
      </w:r>
      <w:r w:rsidRPr="00B00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0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0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поделилась статистикой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замруководитель</w:t>
      </w:r>
      <w:proofErr w:type="spellEnd"/>
      <w:r w:rsidR="00414852" w:rsidRPr="0041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</w:t>
      </w:r>
      <w:proofErr w:type="spellStart"/>
      <w:r w:rsidR="00414852" w:rsidRPr="00414852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="00414852" w:rsidRPr="004148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Курской области </w:t>
      </w:r>
      <w:r w:rsidR="00414852" w:rsidRPr="004148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Анна Стрекалова</w:t>
      </w:r>
      <w:r w:rsidR="00C27D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5EA9" w:rsidRDefault="00E55EA9" w:rsidP="00E55EA9">
      <w:pPr>
        <w:contextualSpacing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36EE4" w:rsidRPr="00DD7F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171751" w:rsidRPr="00DD7F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Подать заявление на государственную регистрацию прав можно</w:t>
      </w:r>
      <w:r w:rsidR="00E36EE4" w:rsidRPr="00DD7F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также самостоятельно, обратившись в МФЦ или</w:t>
      </w:r>
      <w:r w:rsidR="00171751" w:rsidRPr="00DD7FE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воспользоваться электронным сервисом на сайте</w:t>
      </w:r>
      <w:r w:rsidR="00171751" w:rsidRPr="00DD7FE6">
        <w:rPr>
          <w:rFonts w:ascii="Times New Roman" w:hAnsi="Times New Roman" w:cs="Times New Roman"/>
          <w:i/>
          <w:color w:val="292C2F"/>
          <w:sz w:val="28"/>
          <w:szCs w:val="28"/>
        </w:rPr>
        <w:t> </w:t>
      </w:r>
      <w:proofErr w:type="spellStart"/>
      <w:r w:rsidR="005E6CFF" w:rsidRPr="00DD7FE6">
        <w:rPr>
          <w:i/>
        </w:rPr>
        <w:fldChar w:fldCharType="begin"/>
      </w:r>
      <w:r w:rsidR="005E6CFF" w:rsidRPr="00DD7FE6">
        <w:rPr>
          <w:i/>
        </w:rPr>
        <w:instrText>HYPERLINK "https://rosreestr.gov.ru/eservices/real_estate_registration/"</w:instrText>
      </w:r>
      <w:r w:rsidR="005E6CFF" w:rsidRPr="00DD7FE6">
        <w:rPr>
          <w:i/>
        </w:rPr>
        <w:fldChar w:fldCharType="separate"/>
      </w:r>
      <w:r w:rsidR="00171751" w:rsidRPr="00DD7FE6">
        <w:rPr>
          <w:rStyle w:val="a4"/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5E6CFF" w:rsidRPr="00DD7FE6">
        <w:rPr>
          <w:i/>
        </w:rPr>
        <w:fldChar w:fldCharType="end"/>
      </w:r>
      <w:r w:rsidR="00E36EE4" w:rsidRPr="00DD7FE6">
        <w:rPr>
          <w:i/>
        </w:rPr>
        <w:t>»</w:t>
      </w:r>
      <w:r w:rsidR="00E36EE4">
        <w:rPr>
          <w:rFonts w:ascii="Times New Roman" w:hAnsi="Times New Roman" w:cs="Times New Roman"/>
          <w:color w:val="292C2F"/>
          <w:sz w:val="28"/>
          <w:szCs w:val="28"/>
        </w:rPr>
        <w:t>,</w:t>
      </w:r>
      <w:r w:rsidR="00DD7FE6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="00E36EE4">
        <w:rPr>
          <w:rFonts w:ascii="Times New Roman" w:hAnsi="Times New Roman" w:cs="Times New Roman"/>
          <w:color w:val="292C2F"/>
          <w:sz w:val="28"/>
          <w:szCs w:val="28"/>
        </w:rPr>
        <w:t>-</w:t>
      </w:r>
      <w:r w:rsidR="00DD7FE6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="00E36EE4" w:rsidRPr="00DD7FE6">
        <w:rPr>
          <w:rFonts w:ascii="Times New Roman" w:hAnsi="Times New Roman" w:cs="Times New Roman"/>
          <w:sz w:val="28"/>
          <w:szCs w:val="28"/>
        </w:rPr>
        <w:t xml:space="preserve">прокомментировал директор Кадастровой палаты Курской области </w:t>
      </w:r>
      <w:r w:rsidR="00E36EE4" w:rsidRPr="00DD7FE6">
        <w:rPr>
          <w:rFonts w:ascii="Times New Roman" w:hAnsi="Times New Roman" w:cs="Times New Roman"/>
          <w:b/>
          <w:sz w:val="28"/>
          <w:szCs w:val="28"/>
        </w:rPr>
        <w:t>Андрей Тарасов</w:t>
      </w:r>
      <w:r w:rsidR="00E36EE4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:rsidR="00E55EA9" w:rsidRDefault="00E55EA9" w:rsidP="00E55EA9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</w:rPr>
        <w:tab/>
      </w:r>
      <w:r w:rsidR="00921E88" w:rsidRPr="00414852">
        <w:rPr>
          <w:rFonts w:ascii="Times New Roman" w:hAnsi="Times New Roman" w:cs="Times New Roman"/>
          <w:color w:val="000000" w:themeColor="text1"/>
          <w:sz w:val="28"/>
          <w:szCs w:val="28"/>
        </w:rPr>
        <w:t>Для регистрации перехода прав собственности на подаренный объект недвижимости представляются:</w:t>
      </w:r>
    </w:p>
    <w:p w:rsidR="00E55EA9" w:rsidRDefault="00E55EA9" w:rsidP="00E55EA9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</w:rPr>
        <w:tab/>
      </w:r>
      <w:r w:rsidR="00921E88" w:rsidRPr="00414852">
        <w:rPr>
          <w:rFonts w:ascii="Times New Roman" w:hAnsi="Times New Roman" w:cs="Times New Roman"/>
          <w:color w:val="292C2F"/>
          <w:sz w:val="28"/>
          <w:szCs w:val="28"/>
        </w:rPr>
        <w:t>1.     </w:t>
      </w:r>
      <w:hyperlink r:id="rId6" w:history="1">
        <w:r w:rsidR="00921E88" w:rsidRPr="00414852">
          <w:rPr>
            <w:rStyle w:val="a4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21E88" w:rsidRPr="00414852">
        <w:rPr>
          <w:rFonts w:ascii="Times New Roman" w:hAnsi="Times New Roman" w:cs="Times New Roman"/>
          <w:color w:val="292C2F"/>
          <w:sz w:val="28"/>
          <w:szCs w:val="28"/>
        </w:rPr>
        <w:t> </w:t>
      </w:r>
      <w:r w:rsidR="00921E88" w:rsidRPr="00414852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регистрации перехода права (представляет даритель) и о государственной регистрации права собственности (представляет одаряемый);</w:t>
      </w:r>
    </w:p>
    <w:p w:rsidR="00E55EA9" w:rsidRDefault="00E55EA9" w:rsidP="00E55EA9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</w:rPr>
        <w:tab/>
      </w:r>
      <w:r w:rsidR="00921E88" w:rsidRPr="00414852">
        <w:rPr>
          <w:rFonts w:ascii="Times New Roman" w:hAnsi="Times New Roman" w:cs="Times New Roman"/>
          <w:color w:val="292C2F"/>
          <w:sz w:val="28"/>
          <w:szCs w:val="28"/>
        </w:rPr>
        <w:t>2</w:t>
      </w:r>
      <w:r w:rsidR="00921E88" w:rsidRPr="00414852">
        <w:rPr>
          <w:rFonts w:ascii="Times New Roman" w:hAnsi="Times New Roman" w:cs="Times New Roman"/>
          <w:color w:val="000000" w:themeColor="text1"/>
          <w:sz w:val="28"/>
          <w:szCs w:val="28"/>
        </w:rPr>
        <w:t>.     документы, удостоверяющие личность участников договора;</w:t>
      </w:r>
    </w:p>
    <w:p w:rsidR="00E55EA9" w:rsidRDefault="00E55EA9" w:rsidP="00E55EA9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1E88" w:rsidRPr="00414852">
        <w:rPr>
          <w:rFonts w:ascii="Times New Roman" w:hAnsi="Times New Roman" w:cs="Times New Roman"/>
          <w:color w:val="000000" w:themeColor="text1"/>
          <w:sz w:val="28"/>
          <w:szCs w:val="28"/>
        </w:rPr>
        <w:t>3.     нотариально удостоверенная доверенность, если третье лицо действует от имени участника договора;</w:t>
      </w:r>
    </w:p>
    <w:p w:rsidR="00E55EA9" w:rsidRDefault="00E55EA9" w:rsidP="00E55EA9">
      <w:pPr>
        <w:contextualSpacing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</w:rPr>
        <w:tab/>
      </w:r>
      <w:r w:rsidR="00921E88" w:rsidRPr="00414852">
        <w:rPr>
          <w:rFonts w:ascii="Times New Roman" w:hAnsi="Times New Roman" w:cs="Times New Roman"/>
          <w:color w:val="292C2F"/>
          <w:sz w:val="28"/>
          <w:szCs w:val="28"/>
        </w:rPr>
        <w:t>4.     </w:t>
      </w:r>
      <w:hyperlink r:id="rId7" w:history="1">
        <w:r w:rsidR="00921E88" w:rsidRPr="00414852">
          <w:rPr>
            <w:rStyle w:val="a4"/>
            <w:rFonts w:ascii="Times New Roman" w:hAnsi="Times New Roman" w:cs="Times New Roman"/>
            <w:sz w:val="28"/>
            <w:szCs w:val="28"/>
          </w:rPr>
          <w:t>договор</w:t>
        </w:r>
      </w:hyperlink>
      <w:r w:rsidR="00921E88" w:rsidRPr="00414852">
        <w:rPr>
          <w:rFonts w:ascii="Times New Roman" w:hAnsi="Times New Roman" w:cs="Times New Roman"/>
          <w:color w:val="292C2F"/>
          <w:sz w:val="28"/>
          <w:szCs w:val="28"/>
        </w:rPr>
        <w:t> </w:t>
      </w:r>
      <w:r w:rsidR="00921E88" w:rsidRPr="00414852">
        <w:rPr>
          <w:rFonts w:ascii="Times New Roman" w:hAnsi="Times New Roman" w:cs="Times New Roman"/>
          <w:color w:val="000000" w:themeColor="text1"/>
          <w:sz w:val="28"/>
          <w:szCs w:val="28"/>
        </w:rPr>
        <w:t>дарения</w:t>
      </w:r>
      <w:r w:rsidR="00921E88" w:rsidRPr="00414852">
        <w:rPr>
          <w:rFonts w:ascii="Times New Roman" w:hAnsi="Times New Roman" w:cs="Times New Roman"/>
          <w:color w:val="292C2F"/>
          <w:sz w:val="28"/>
          <w:szCs w:val="28"/>
        </w:rPr>
        <w:t>;</w:t>
      </w:r>
    </w:p>
    <w:p w:rsidR="00E55EA9" w:rsidRDefault="00E55EA9" w:rsidP="00E55EA9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</w:rPr>
        <w:tab/>
      </w:r>
      <w:r w:rsidR="00921E88" w:rsidRPr="00414852">
        <w:rPr>
          <w:rFonts w:ascii="Times New Roman" w:hAnsi="Times New Roman" w:cs="Times New Roman"/>
          <w:color w:val="292C2F"/>
          <w:sz w:val="28"/>
          <w:szCs w:val="28"/>
        </w:rPr>
        <w:t xml:space="preserve">5.     </w:t>
      </w:r>
      <w:r w:rsidR="00921E88" w:rsidRPr="00414852">
        <w:rPr>
          <w:rFonts w:ascii="Times New Roman" w:hAnsi="Times New Roman" w:cs="Times New Roman"/>
          <w:color w:val="000000" w:themeColor="text1"/>
          <w:sz w:val="28"/>
          <w:szCs w:val="28"/>
        </w:rPr>
        <w:t>иные документы, необходимые для государственной регистрации.</w:t>
      </w:r>
    </w:p>
    <w:p w:rsidR="00B336F7" w:rsidRDefault="00B336F7" w:rsidP="00E55E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36F7">
        <w:rPr>
          <w:rFonts w:ascii="Times New Roman" w:hAnsi="Times New Roman" w:cs="Times New Roman"/>
          <w:sz w:val="28"/>
          <w:szCs w:val="28"/>
        </w:rPr>
        <w:t>Если имущество отчуждается из совместной собственности, то необходимо согласие второго супруга или участие на стороне дарителя обоих супругов.</w:t>
      </w:r>
    </w:p>
    <w:p w:rsidR="00171751" w:rsidRPr="00B336F7" w:rsidRDefault="00B336F7" w:rsidP="00E55E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1751" w:rsidRPr="00E55EA9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для осуществления государственной регистрации перехода права собственности по договору дарения приобретателем по договору (одаряемым) должна быть оплачена государственная пошлина</w:t>
      </w:r>
      <w:r w:rsidR="00552D40" w:rsidRPr="00E55EA9">
        <w:rPr>
          <w:rFonts w:ascii="Times New Roman" w:hAnsi="Times New Roman" w:cs="Times New Roman"/>
          <w:color w:val="000000" w:themeColor="text1"/>
          <w:sz w:val="28"/>
          <w:szCs w:val="28"/>
        </w:rPr>
        <w:t>. Е</w:t>
      </w:r>
      <w:r w:rsidR="00171751" w:rsidRPr="00E55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документы подаются на бумажном носителе, то за регистрацию права собственности на квартиру одаряемый (физическое лицо) должен уплатить пошлину в размере 2000 руб., а если документы подаются </w:t>
      </w:r>
      <w:r w:rsidR="00552D40" w:rsidRPr="00E55EA9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– 1400 руб.</w:t>
      </w:r>
    </w:p>
    <w:p w:rsidR="00171751" w:rsidRPr="00171751" w:rsidRDefault="00171751" w:rsidP="00552D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4852" w:rsidRPr="00414852" w:rsidRDefault="00414852" w:rsidP="004148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852">
        <w:rPr>
          <w:rFonts w:ascii="Times New Roman" w:hAnsi="Times New Roman" w:cs="Times New Roman"/>
          <w:b/>
          <w:sz w:val="28"/>
          <w:szCs w:val="28"/>
        </w:rPr>
        <w:t>Как быть, если вы хотите подарить недвижимость, доставшуюся по наследству, но еще не оформленную?</w:t>
      </w:r>
    </w:p>
    <w:p w:rsidR="00921E88" w:rsidRPr="00552D40" w:rsidRDefault="00414852" w:rsidP="004148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852">
        <w:rPr>
          <w:rFonts w:ascii="Times New Roman" w:hAnsi="Times New Roman" w:cs="Times New Roman"/>
          <w:sz w:val="28"/>
          <w:szCs w:val="28"/>
        </w:rPr>
        <w:t xml:space="preserve">Как наследник вы можете зарегистрировать свое право собственности на недвижимое </w:t>
      </w:r>
      <w:proofErr w:type="gramStart"/>
      <w:r w:rsidRPr="00414852"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Pr="00414852">
        <w:rPr>
          <w:rFonts w:ascii="Times New Roman" w:hAnsi="Times New Roman" w:cs="Times New Roman"/>
          <w:sz w:val="28"/>
          <w:szCs w:val="28"/>
        </w:rPr>
        <w:t xml:space="preserve"> как до совершения сделки дарения, так и одновременно с регистрацией перехода права собственности к одаряемому по договору дарения, т.е. после заключения договора дарения.</w:t>
      </w:r>
    </w:p>
    <w:sectPr w:rsidR="00921E88" w:rsidRPr="00552D40" w:rsidSect="007D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B2A"/>
    <w:rsid w:val="00037E34"/>
    <w:rsid w:val="001255C0"/>
    <w:rsid w:val="00162118"/>
    <w:rsid w:val="00171751"/>
    <w:rsid w:val="001C686A"/>
    <w:rsid w:val="002F36DA"/>
    <w:rsid w:val="00337FAE"/>
    <w:rsid w:val="00414852"/>
    <w:rsid w:val="00474B2A"/>
    <w:rsid w:val="00477B91"/>
    <w:rsid w:val="00552D40"/>
    <w:rsid w:val="005928FC"/>
    <w:rsid w:val="005D0EA6"/>
    <w:rsid w:val="005E6CFF"/>
    <w:rsid w:val="005F1668"/>
    <w:rsid w:val="007C1579"/>
    <w:rsid w:val="007D2E0A"/>
    <w:rsid w:val="007D4FAD"/>
    <w:rsid w:val="007F1398"/>
    <w:rsid w:val="00881980"/>
    <w:rsid w:val="00921E88"/>
    <w:rsid w:val="00A3051C"/>
    <w:rsid w:val="00B00F60"/>
    <w:rsid w:val="00B336F7"/>
    <w:rsid w:val="00B64872"/>
    <w:rsid w:val="00B76CD8"/>
    <w:rsid w:val="00C27DDA"/>
    <w:rsid w:val="00CE4B1E"/>
    <w:rsid w:val="00CF0C2C"/>
    <w:rsid w:val="00D47708"/>
    <w:rsid w:val="00DD7FE6"/>
    <w:rsid w:val="00E36EE4"/>
    <w:rsid w:val="00E55EA9"/>
    <w:rsid w:val="00E7128B"/>
    <w:rsid w:val="00F6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AD"/>
  </w:style>
  <w:style w:type="paragraph" w:styleId="3">
    <w:name w:val="heading 3"/>
    <w:basedOn w:val="a"/>
    <w:link w:val="30"/>
    <w:uiPriority w:val="9"/>
    <w:qFormat/>
    <w:rsid w:val="00921E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E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21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law/podborki/obrazec_dogovora_dareniya_kvartir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63588/4a213cbbc062a6a96fcd85d8956dddc2eacd61bc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DEFF-7449-411D-AED0-980AF8EF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Светлана Александровна</dc:creator>
  <cp:lastModifiedBy>Башкеева А А</cp:lastModifiedBy>
  <cp:revision>7</cp:revision>
  <cp:lastPrinted>2022-02-03T08:01:00Z</cp:lastPrinted>
  <dcterms:created xsi:type="dcterms:W3CDTF">2022-02-03T08:52:00Z</dcterms:created>
  <dcterms:modified xsi:type="dcterms:W3CDTF">2022-02-04T11:01:00Z</dcterms:modified>
</cp:coreProperties>
</file>